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032" w:rsidRDefault="009D3032" w:rsidP="009D3032">
      <w:pPr>
        <w:keepLines/>
        <w:tabs>
          <w:tab w:val="right" w:pos="10440"/>
          <w:tab w:val="right" w:pos="13323"/>
        </w:tabs>
        <w:autoSpaceDE/>
        <w:autoSpaceDN/>
        <w:adjustRightInd/>
        <w:spacing w:after="0"/>
        <w:rPr>
          <w:rFonts w:ascii="Arial" w:hAnsi="Arial" w:cs="Arial"/>
          <w:b/>
          <w:sz w:val="24"/>
          <w:szCs w:val="24"/>
        </w:rPr>
      </w:pPr>
      <w:bookmarkStart w:id="0" w:name="Title"/>
      <w:bookmarkStart w:id="1" w:name="DocumentFor"/>
      <w:bookmarkEnd w:id="0"/>
      <w:bookmarkEnd w:id="1"/>
      <w:r w:rsidRPr="00054954">
        <w:rPr>
          <w:rFonts w:ascii="Arial" w:hAnsi="Arial" w:cs="Arial"/>
          <w:b/>
          <w:sz w:val="24"/>
          <w:szCs w:val="24"/>
        </w:rPr>
        <w:t>3GPP TSG-RA</w:t>
      </w:r>
      <w:r>
        <w:rPr>
          <w:rFonts w:ascii="Arial" w:hAnsi="Arial" w:cs="Arial"/>
          <w:b/>
          <w:sz w:val="24"/>
          <w:szCs w:val="24"/>
        </w:rPr>
        <w:t xml:space="preserve">N WG4 Meeting # 98-bis-e </w:t>
      </w:r>
      <w:r>
        <w:rPr>
          <w:rFonts w:ascii="Arial" w:hAnsi="Arial" w:cs="Arial"/>
          <w:b/>
          <w:sz w:val="24"/>
          <w:szCs w:val="24"/>
        </w:rPr>
        <w:tab/>
      </w:r>
      <w:r w:rsidR="00BA01E2" w:rsidRPr="00BA01E2">
        <w:rPr>
          <w:rFonts w:ascii="Arial" w:hAnsi="Arial" w:cs="Arial"/>
          <w:b/>
          <w:sz w:val="24"/>
          <w:szCs w:val="24"/>
        </w:rPr>
        <w:t>R4-2106485</w:t>
      </w:r>
    </w:p>
    <w:p w:rsidR="009D3032" w:rsidRDefault="009D3032" w:rsidP="009D3032">
      <w:pPr>
        <w:tabs>
          <w:tab w:val="left" w:pos="1985"/>
        </w:tabs>
        <w:spacing w:after="100" w:afterAutospacing="1"/>
        <w:rPr>
          <w:rFonts w:ascii="Arial" w:hAnsi="Arial" w:cs="Arial"/>
          <w:b/>
          <w:sz w:val="24"/>
          <w:szCs w:val="24"/>
        </w:rPr>
      </w:pPr>
      <w:r w:rsidRPr="00252739">
        <w:rPr>
          <w:rFonts w:ascii="Arial" w:hAnsi="Arial" w:cs="Arial"/>
          <w:b/>
          <w:sz w:val="24"/>
          <w:szCs w:val="24"/>
        </w:rPr>
        <w:t>Electronic Meeting, Apr. 12-20, 2021</w:t>
      </w:r>
    </w:p>
    <w:p w:rsidR="00237FCA" w:rsidRPr="009D3032" w:rsidRDefault="00237FCA" w:rsidP="00563F22">
      <w:pPr>
        <w:ind w:left="1985" w:hanging="1985"/>
        <w:rPr>
          <w:rFonts w:ascii="Arial" w:hAnsi="Arial"/>
          <w:b/>
          <w:noProof/>
          <w:sz w:val="24"/>
          <w:szCs w:val="20"/>
          <w:lang w:eastAsia="zh-CN"/>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22484B">
        <w:rPr>
          <w:rFonts w:ascii="Arial" w:hAnsi="Arial" w:cs="Arial"/>
          <w:b/>
        </w:rPr>
        <w:t>Huawei, HiSilicon</w:t>
      </w:r>
    </w:p>
    <w:p w:rsidR="00563F22" w:rsidRPr="005C2410" w:rsidRDefault="00563F22" w:rsidP="00563F22">
      <w:pPr>
        <w:ind w:left="1985" w:hanging="1985"/>
        <w:rPr>
          <w:rFonts w:ascii="Arial" w:hAnsi="Arial" w:cs="Arial"/>
          <w:b/>
          <w:lang w:eastAsia="zh-CN"/>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490DF4" w:rsidRPr="00490DF4">
        <w:rPr>
          <w:rFonts w:ascii="Arial" w:hAnsi="Arial" w:cs="Arial"/>
          <w:b/>
        </w:rPr>
        <w:t>Consideration on use of larger channel bandwidth</w:t>
      </w:r>
    </w:p>
    <w:p w:rsidR="00563F22" w:rsidRPr="00F378D6" w:rsidRDefault="00563F22" w:rsidP="00563F22">
      <w:pPr>
        <w:ind w:left="1985" w:hanging="1985"/>
        <w:rPr>
          <w:rFonts w:ascii="Arial" w:hAnsi="Arial" w:cs="Arial"/>
          <w:b/>
          <w:lang w:eastAsia="zh-CN"/>
        </w:rPr>
      </w:pPr>
      <w:r w:rsidRPr="00790524">
        <w:rPr>
          <w:rFonts w:ascii="Arial" w:hAnsi="Arial" w:cs="Arial"/>
          <w:b/>
        </w:rPr>
        <w:t>Agenda Item:</w:t>
      </w:r>
      <w:r w:rsidRPr="00790524">
        <w:rPr>
          <w:rFonts w:ascii="Arial" w:hAnsi="Arial" w:cs="Arial"/>
          <w:b/>
        </w:rPr>
        <w:tab/>
      </w:r>
      <w:r w:rsidR="00490DF4">
        <w:rPr>
          <w:rFonts w:ascii="Arial" w:hAnsi="Arial" w:cs="Arial"/>
          <w:b/>
        </w:rPr>
        <w:t>9.2.2</w:t>
      </w:r>
    </w:p>
    <w:p w:rsidR="00563F22" w:rsidRPr="00563F22" w:rsidRDefault="00563F22" w:rsidP="00563F22">
      <w:pPr>
        <w:ind w:left="1985" w:hanging="1985"/>
        <w:rPr>
          <w:rFonts w:ascii="Arial" w:hAnsi="Arial" w:cs="Arial"/>
          <w:b/>
          <w:lang w:eastAsia="zh-CN"/>
        </w:rPr>
      </w:pPr>
      <w:r w:rsidRPr="00790524">
        <w:rPr>
          <w:rFonts w:ascii="Arial" w:hAnsi="Arial" w:cs="Arial"/>
          <w:b/>
        </w:rPr>
        <w:t>Document for:</w:t>
      </w:r>
      <w:r w:rsidRPr="00790524">
        <w:rPr>
          <w:rFonts w:ascii="Arial" w:hAnsi="Arial" w:cs="Arial"/>
          <w:b/>
        </w:rPr>
        <w:tab/>
      </w:r>
      <w:r w:rsidR="0066180D">
        <w:rPr>
          <w:rFonts w:ascii="Arial" w:hAnsi="Arial" w:cs="Arial"/>
          <w:b/>
        </w:rPr>
        <w:t>Approval</w:t>
      </w:r>
    </w:p>
    <w:p w:rsid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rFonts w:hint="eastAsia"/>
          <w:lang w:eastAsia="zh-CN"/>
        </w:rPr>
        <w:t>Introduction</w:t>
      </w:r>
    </w:p>
    <w:p w:rsidR="00462611" w:rsidRDefault="00462611" w:rsidP="005D46E8">
      <w:pPr>
        <w:spacing w:before="120"/>
        <w:rPr>
          <w:lang w:eastAsia="zh-CN"/>
        </w:rPr>
      </w:pPr>
      <w:r>
        <w:rPr>
          <w:rFonts w:hint="eastAsia"/>
          <w:lang w:eastAsia="zh-CN"/>
        </w:rPr>
        <w:t>I</w:t>
      </w:r>
      <w:r>
        <w:rPr>
          <w:lang w:eastAsia="zh-CN"/>
        </w:rPr>
        <w:t>n last RAN meeting, a new SI has been approved on efficient utilization of licensed spectrum that is not aligned with existing NR channel bandwidths.</w:t>
      </w:r>
      <w:r w:rsidR="00DB37D4">
        <w:rPr>
          <w:lang w:eastAsia="zh-CN"/>
        </w:rPr>
        <w:t xml:space="preserve"> One of the objective is to </w:t>
      </w:r>
      <w:r w:rsidR="009D3032">
        <w:rPr>
          <w:lang w:eastAsia="zh-CN"/>
        </w:rPr>
        <w:t>evaluate</w:t>
      </w:r>
      <w:r w:rsidR="00DB37D4">
        <w:rPr>
          <w:lang w:eastAsia="zh-CN"/>
        </w:rPr>
        <w:t xml:space="preserve"> the use of </w:t>
      </w:r>
      <w:r w:rsidR="009D3032">
        <w:rPr>
          <w:lang w:eastAsia="zh-CN"/>
        </w:rPr>
        <w:t>larger</w:t>
      </w:r>
      <w:r w:rsidR="00DB37D4">
        <w:rPr>
          <w:lang w:eastAsia="zh-CN"/>
        </w:rPr>
        <w:t xml:space="preserve"> channel bandwidths.</w:t>
      </w:r>
      <w:bookmarkStart w:id="2" w:name="_GoBack"/>
      <w:bookmarkEnd w:id="2"/>
    </w:p>
    <w:p w:rsidR="009D3032" w:rsidRPr="00284B2F" w:rsidRDefault="009D3032" w:rsidP="009D3032">
      <w:pPr>
        <w:pStyle w:val="af0"/>
        <w:numPr>
          <w:ilvl w:val="0"/>
          <w:numId w:val="7"/>
        </w:numPr>
        <w:spacing w:after="180"/>
        <w:rPr>
          <w:lang w:eastAsia="ko-KR"/>
        </w:rPr>
      </w:pPr>
      <w:r w:rsidRPr="00284B2F">
        <w:rPr>
          <w:lang w:eastAsia="ko-KR"/>
        </w:rPr>
        <w:t>Evaluate the potential use of larger channel bandwidths than operator licensed bandwidth, including the impacts on regulatory emission requirements</w:t>
      </w:r>
      <w:r>
        <w:rPr>
          <w:lang w:eastAsia="ko-KR"/>
        </w:rPr>
        <w:t>/UE output power implications and</w:t>
      </w:r>
      <w:r w:rsidRPr="00284B2F">
        <w:rPr>
          <w:lang w:eastAsia="ko-KR"/>
        </w:rPr>
        <w:t xml:space="preserve"> UE </w:t>
      </w:r>
      <w:r>
        <w:rPr>
          <w:lang w:eastAsia="ko-KR"/>
        </w:rPr>
        <w:t>ACS/</w:t>
      </w:r>
      <w:r w:rsidRPr="00284B2F">
        <w:rPr>
          <w:lang w:eastAsia="ko-KR"/>
        </w:rPr>
        <w:t>blocking impacts</w:t>
      </w:r>
      <w:r>
        <w:rPr>
          <w:lang w:eastAsia="ko-KR"/>
        </w:rPr>
        <w:t xml:space="preserve"> depending on the guard band and the SCS</w:t>
      </w:r>
      <w:r w:rsidRPr="00284B2F">
        <w:rPr>
          <w:lang w:eastAsia="ko-KR"/>
        </w:rPr>
        <w:t>.</w:t>
      </w:r>
    </w:p>
    <w:p w:rsidR="00DB688D" w:rsidRPr="00DB688D" w:rsidRDefault="00DB688D" w:rsidP="005D46E8">
      <w:pPr>
        <w:spacing w:before="120"/>
        <w:rPr>
          <w:lang w:eastAsia="zh-CN"/>
        </w:rPr>
      </w:pPr>
      <w:r>
        <w:rPr>
          <w:lang w:eastAsia="zh-CN"/>
        </w:rPr>
        <w:t>In the contribution, we provid</w:t>
      </w:r>
      <w:r w:rsidR="00DB37D4">
        <w:rPr>
          <w:lang w:eastAsia="zh-CN"/>
        </w:rPr>
        <w:t>e discussion on this alternative.</w:t>
      </w:r>
    </w:p>
    <w:p w:rsidR="00DB37D4" w:rsidRDefault="00E407EA" w:rsidP="00DB37D4">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Discussion</w:t>
      </w:r>
    </w:p>
    <w:p w:rsidR="00814E03" w:rsidRDefault="00D44812" w:rsidP="003D4A9C">
      <w:pPr>
        <w:rPr>
          <w:lang w:eastAsia="zh-CN"/>
        </w:rPr>
      </w:pPr>
      <w:r>
        <w:rPr>
          <w:lang w:eastAsia="zh-CN"/>
        </w:rPr>
        <w:t>Per way forward on use of larger CBW agreed in last meeting [2],</w:t>
      </w:r>
    </w:p>
    <w:p w:rsidR="008E2536" w:rsidRPr="00D44812" w:rsidRDefault="0038572E" w:rsidP="00D44812">
      <w:pPr>
        <w:numPr>
          <w:ilvl w:val="0"/>
          <w:numId w:val="8"/>
        </w:numPr>
        <w:rPr>
          <w:lang w:eastAsia="zh-CN"/>
        </w:rPr>
      </w:pPr>
      <w:r w:rsidRPr="00D44812">
        <w:rPr>
          <w:lang w:val="en-CA" w:eastAsia="zh-CN"/>
        </w:rPr>
        <w:t>WiderCHBW use for the UE in DL and BS in UL with BWP related to network SU is further studied</w:t>
      </w:r>
    </w:p>
    <w:p w:rsidR="008E2536" w:rsidRPr="00D44812" w:rsidRDefault="0038572E" w:rsidP="00D44812">
      <w:pPr>
        <w:numPr>
          <w:ilvl w:val="1"/>
          <w:numId w:val="8"/>
        </w:numPr>
        <w:rPr>
          <w:lang w:eastAsia="zh-CN"/>
        </w:rPr>
      </w:pPr>
      <w:r w:rsidRPr="00D44812">
        <w:rPr>
          <w:lang w:val="en-CA" w:eastAsia="zh-CN"/>
        </w:rPr>
        <w:t>What ACS and blocking performance can be expected when only a subset of configured channel BW(the “widerCHBW) RBs are used</w:t>
      </w:r>
    </w:p>
    <w:p w:rsidR="008E2536" w:rsidRPr="00D44812" w:rsidRDefault="0038572E" w:rsidP="00D44812">
      <w:pPr>
        <w:numPr>
          <w:ilvl w:val="1"/>
          <w:numId w:val="8"/>
        </w:numPr>
        <w:rPr>
          <w:lang w:eastAsia="zh-CN"/>
        </w:rPr>
      </w:pPr>
      <w:r w:rsidRPr="00D44812">
        <w:rPr>
          <w:lang w:eastAsia="zh-CN"/>
        </w:rPr>
        <w:t>How many RBs can be used</w:t>
      </w:r>
    </w:p>
    <w:p w:rsidR="008E2536" w:rsidRPr="00D44812" w:rsidRDefault="0038572E" w:rsidP="00D44812">
      <w:pPr>
        <w:numPr>
          <w:ilvl w:val="1"/>
          <w:numId w:val="8"/>
        </w:numPr>
        <w:rPr>
          <w:lang w:eastAsia="zh-CN"/>
        </w:rPr>
      </w:pPr>
      <w:r w:rsidRPr="00D44812">
        <w:rPr>
          <w:lang w:val="en-CA" w:eastAsia="zh-CN"/>
        </w:rPr>
        <w:t>Whether this is applicable to bands where the WiderBW is not specified (ie a band where &gt;10MHz irregular BW is requested but 15MHz BW is not available in that band)</w:t>
      </w:r>
    </w:p>
    <w:p w:rsidR="008E2536" w:rsidRPr="00D44812" w:rsidRDefault="0038572E" w:rsidP="00D44812">
      <w:pPr>
        <w:numPr>
          <w:ilvl w:val="1"/>
          <w:numId w:val="8"/>
        </w:numPr>
        <w:rPr>
          <w:lang w:eastAsia="zh-CN"/>
        </w:rPr>
      </w:pPr>
      <w:r w:rsidRPr="00D44812">
        <w:rPr>
          <w:lang w:val="en-CA" w:eastAsia="zh-CN"/>
        </w:rPr>
        <w:t>Impact of near-far effect is assessed for non-collocated scenario, but WiderCHBW in DL may be applicable to co-located adjacent channels deployment</w:t>
      </w:r>
    </w:p>
    <w:p w:rsidR="008E2536" w:rsidRPr="00D44812" w:rsidRDefault="0038572E" w:rsidP="00D44812">
      <w:pPr>
        <w:numPr>
          <w:ilvl w:val="0"/>
          <w:numId w:val="8"/>
        </w:numPr>
        <w:rPr>
          <w:lang w:eastAsia="zh-CN"/>
        </w:rPr>
      </w:pPr>
      <w:r w:rsidRPr="00D44812">
        <w:rPr>
          <w:lang w:val="en-CA" w:eastAsia="zh-CN"/>
        </w:rPr>
        <w:t>In UL it is proposed that only SmallerCHBW is used by the UE, as UL peak throughput is not critical and it guaranties that emissions are met:</w:t>
      </w:r>
    </w:p>
    <w:p w:rsidR="008E2536" w:rsidRPr="00D44812" w:rsidRDefault="0038572E" w:rsidP="00D44812">
      <w:pPr>
        <w:numPr>
          <w:ilvl w:val="1"/>
          <w:numId w:val="8"/>
        </w:numPr>
        <w:rPr>
          <w:lang w:eastAsia="zh-CN"/>
        </w:rPr>
      </w:pPr>
      <w:r w:rsidRPr="00D44812">
        <w:rPr>
          <w:lang w:val="en-CA" w:eastAsia="zh-CN"/>
        </w:rPr>
        <w:t>Legacy UEs use SmallerCHBW in one position compatible with current SSB raster</w:t>
      </w:r>
    </w:p>
    <w:p w:rsidR="008E2536" w:rsidRPr="00D44812" w:rsidRDefault="0038572E" w:rsidP="00D44812">
      <w:pPr>
        <w:numPr>
          <w:ilvl w:val="1"/>
          <w:numId w:val="8"/>
        </w:numPr>
        <w:rPr>
          <w:lang w:eastAsia="zh-CN"/>
        </w:rPr>
      </w:pPr>
      <w:r w:rsidRPr="00D44812">
        <w:rPr>
          <w:lang w:val="en-CA" w:eastAsia="zh-CN"/>
        </w:rPr>
        <w:t>New UEs can use SmallerCHBW with overlap from the network prospective</w:t>
      </w:r>
    </w:p>
    <w:p w:rsidR="008E2536" w:rsidRPr="00D44812" w:rsidRDefault="0038572E" w:rsidP="00D44812">
      <w:pPr>
        <w:numPr>
          <w:ilvl w:val="0"/>
          <w:numId w:val="8"/>
        </w:numPr>
        <w:rPr>
          <w:lang w:eastAsia="zh-CN"/>
        </w:rPr>
      </w:pPr>
      <w:r w:rsidRPr="00D44812">
        <w:rPr>
          <w:lang w:val="en-CA" w:eastAsia="zh-CN"/>
        </w:rPr>
        <w:t>In DL it may not be feasible for the BS to use WiderBW and meet emissions. It should be studied if there are restrictions in using WiderBW on the BS side</w:t>
      </w:r>
    </w:p>
    <w:p w:rsidR="00D44812" w:rsidRDefault="00D44812" w:rsidP="003D4A9C">
      <w:pPr>
        <w:rPr>
          <w:lang w:eastAsia="zh-CN"/>
        </w:rPr>
      </w:pPr>
    </w:p>
    <w:p w:rsidR="00D44812" w:rsidRDefault="00D44812" w:rsidP="003D4A9C">
      <w:pPr>
        <w:rPr>
          <w:lang w:eastAsia="zh-CN"/>
        </w:rPr>
      </w:pPr>
      <w:r>
        <w:rPr>
          <w:lang w:eastAsia="zh-CN"/>
        </w:rPr>
        <w:t>Firstly, we look at DL case and it</w:t>
      </w:r>
      <w:r w:rsidR="000238CC">
        <w:rPr>
          <w:lang w:eastAsia="zh-CN"/>
        </w:rPr>
        <w:t xml:space="preserve"> states in the WF that WiderBW may be applicable to co-located adjacent channels deployments and the impact of near-far effect is to study for non-collocated scenario. For co-located scenarios, the required emission limits for BS and the ACS and blocking for UE can be relaxed </w:t>
      </w:r>
      <w:r w:rsidR="009C1FA8">
        <w:rPr>
          <w:lang w:eastAsia="zh-CN"/>
        </w:rPr>
        <w:t xml:space="preserve">compared to normal deployments. Existing in-channel requirements may cover the specific deployments. Meanwhile we should admit that </w:t>
      </w:r>
      <w:r w:rsidR="001024DC">
        <w:rPr>
          <w:lang w:eastAsia="zh-CN"/>
        </w:rPr>
        <w:t xml:space="preserve">limitation to </w:t>
      </w:r>
      <w:r w:rsidR="009C1FA8">
        <w:rPr>
          <w:lang w:eastAsia="zh-CN"/>
        </w:rPr>
        <w:t>co-located d</w:t>
      </w:r>
      <w:r w:rsidR="00010945">
        <w:rPr>
          <w:lang w:eastAsia="zh-CN"/>
        </w:rPr>
        <w:t>eployments is a strong restriction in practical deployments. And for non-collocated</w:t>
      </w:r>
      <w:r w:rsidR="001024DC">
        <w:rPr>
          <w:lang w:eastAsia="zh-CN"/>
        </w:rPr>
        <w:t>, the existing ACLR/OBUE for BS and ACS/blocking</w:t>
      </w:r>
      <w:r w:rsidR="004E2C55">
        <w:rPr>
          <w:lang w:eastAsia="zh-CN"/>
        </w:rPr>
        <w:t xml:space="preserve"> for UE applicable at channel edge should be met. However, for WiderBW</w:t>
      </w:r>
      <w:r w:rsidR="00A839B2">
        <w:rPr>
          <w:lang w:eastAsia="zh-CN"/>
        </w:rPr>
        <w:t xml:space="preserve"> channel filter can</w:t>
      </w:r>
      <w:r w:rsidR="004E2C55">
        <w:rPr>
          <w:lang w:eastAsia="zh-CN"/>
        </w:rPr>
        <w:t xml:space="preserve">not provide </w:t>
      </w:r>
      <w:r w:rsidR="00DB1C2C">
        <w:rPr>
          <w:lang w:eastAsia="zh-CN"/>
        </w:rPr>
        <w:t xml:space="preserve">any </w:t>
      </w:r>
      <w:r w:rsidR="004E2C55">
        <w:rPr>
          <w:lang w:eastAsia="zh-CN"/>
        </w:rPr>
        <w:lastRenderedPageBreak/>
        <w:t xml:space="preserve">attenuation at the </w:t>
      </w:r>
      <w:r w:rsidR="00DB1C2C">
        <w:rPr>
          <w:lang w:eastAsia="zh-CN"/>
        </w:rPr>
        <w:t>frequency range of blanking RBs. Hence WideBW solution is not applicable for this scenario.</w:t>
      </w:r>
    </w:p>
    <w:p w:rsidR="009C1FA8" w:rsidRDefault="009C1FA8" w:rsidP="003D4A9C">
      <w:pPr>
        <w:rPr>
          <w:b/>
          <w:lang w:eastAsia="zh-CN"/>
        </w:rPr>
      </w:pPr>
      <w:r>
        <w:rPr>
          <w:b/>
          <w:lang w:eastAsia="zh-CN"/>
        </w:rPr>
        <w:t xml:space="preserve">Observation 1: </w:t>
      </w:r>
      <w:r w:rsidR="00123FFC">
        <w:rPr>
          <w:b/>
          <w:lang w:eastAsia="zh-CN"/>
        </w:rPr>
        <w:t xml:space="preserve"> </w:t>
      </w:r>
      <w:r>
        <w:rPr>
          <w:b/>
          <w:lang w:eastAsia="zh-CN"/>
        </w:rPr>
        <w:t xml:space="preserve">for co-located adjacent channel deployments, widerCHBW in DL is </w:t>
      </w:r>
      <w:r w:rsidR="00010945">
        <w:rPr>
          <w:b/>
          <w:lang w:eastAsia="zh-CN"/>
        </w:rPr>
        <w:t>applicable.</w:t>
      </w:r>
    </w:p>
    <w:p w:rsidR="00DB1C2C" w:rsidRDefault="00123FFC" w:rsidP="003D4A9C">
      <w:pPr>
        <w:rPr>
          <w:b/>
          <w:lang w:eastAsia="zh-CN"/>
        </w:rPr>
      </w:pPr>
      <w:r>
        <w:rPr>
          <w:b/>
          <w:lang w:eastAsia="zh-CN"/>
        </w:rPr>
        <w:t xml:space="preserve">Observation 2: </w:t>
      </w:r>
      <w:r w:rsidR="00DB1C2C">
        <w:rPr>
          <w:b/>
          <w:lang w:eastAsia="zh-CN"/>
        </w:rPr>
        <w:t>for non-collocated adjacent channel deployments, widerCHBW in DL is not applicable.</w:t>
      </w:r>
    </w:p>
    <w:p w:rsidR="00123FFC" w:rsidRPr="00123FFC" w:rsidRDefault="00DB1C2C" w:rsidP="00844442">
      <w:pPr>
        <w:rPr>
          <w:lang w:val="en-CA" w:eastAsia="zh-CN"/>
        </w:rPr>
      </w:pPr>
      <w:r>
        <w:rPr>
          <w:lang w:eastAsia="zh-CN"/>
        </w:rPr>
        <w:t xml:space="preserve">For UL case, there is agreements that </w:t>
      </w:r>
      <w:r w:rsidR="00844442">
        <w:rPr>
          <w:lang w:eastAsia="zh-CN"/>
        </w:rPr>
        <w:t xml:space="preserve">UE </w:t>
      </w:r>
      <w:r w:rsidRPr="00D44812">
        <w:rPr>
          <w:lang w:val="en-CA" w:eastAsia="zh-CN"/>
        </w:rPr>
        <w:t xml:space="preserve">only </w:t>
      </w:r>
      <w:r w:rsidR="00844442">
        <w:rPr>
          <w:lang w:val="en-CA" w:eastAsia="zh-CN"/>
        </w:rPr>
        <w:t xml:space="preserve">use </w:t>
      </w:r>
      <w:r w:rsidRPr="00D44812">
        <w:rPr>
          <w:lang w:val="en-CA" w:eastAsia="zh-CN"/>
        </w:rPr>
        <w:t>SmallerCHBW</w:t>
      </w:r>
      <w:r w:rsidR="00844442">
        <w:rPr>
          <w:lang w:val="en-CA" w:eastAsia="zh-CN"/>
        </w:rPr>
        <w:t xml:space="preserve"> to</w:t>
      </w:r>
      <w:r w:rsidRPr="00D44812">
        <w:rPr>
          <w:lang w:val="en-CA" w:eastAsia="zh-CN"/>
        </w:rPr>
        <w:t xml:space="preserve"> gu</w:t>
      </w:r>
      <w:r w:rsidR="00844442">
        <w:rPr>
          <w:lang w:val="en-CA" w:eastAsia="zh-CN"/>
        </w:rPr>
        <w:t>aranty that emissions are met. For BS receiver selectivity, there are larger than 20 dB difference between ACS and in-c</w:t>
      </w:r>
      <w:r w:rsidR="00123FFC">
        <w:rPr>
          <w:lang w:val="en-CA" w:eastAsia="zh-CN"/>
        </w:rPr>
        <w:t>hannel. Hence we can deduce similar conclusion as DL.</w:t>
      </w:r>
    </w:p>
    <w:p w:rsidR="00123FFC" w:rsidRDefault="009A5185" w:rsidP="00123FFC">
      <w:pPr>
        <w:rPr>
          <w:b/>
          <w:lang w:eastAsia="zh-CN"/>
        </w:rPr>
      </w:pPr>
      <w:r>
        <w:rPr>
          <w:b/>
          <w:lang w:eastAsia="zh-CN"/>
        </w:rPr>
        <w:t xml:space="preserve">Observation </w:t>
      </w:r>
      <w:r w:rsidR="00123FFC">
        <w:rPr>
          <w:b/>
          <w:lang w:eastAsia="zh-CN"/>
        </w:rPr>
        <w:t>3</w:t>
      </w:r>
      <w:r>
        <w:rPr>
          <w:lang w:eastAsia="zh-CN"/>
        </w:rPr>
        <w:t xml:space="preserve">: </w:t>
      </w:r>
      <w:r w:rsidR="00123FFC">
        <w:rPr>
          <w:b/>
          <w:lang w:eastAsia="zh-CN"/>
        </w:rPr>
        <w:t>for co-located adjacent channel deployments, widerCHBW in UL is applicable for BS.</w:t>
      </w:r>
    </w:p>
    <w:p w:rsidR="009A5185" w:rsidRPr="009A5185" w:rsidRDefault="00123FFC" w:rsidP="003D4A9C">
      <w:pPr>
        <w:rPr>
          <w:lang w:eastAsia="zh-CN"/>
        </w:rPr>
      </w:pPr>
      <w:r w:rsidRPr="00D11B7D">
        <w:rPr>
          <w:b/>
          <w:lang w:eastAsia="zh-CN"/>
        </w:rPr>
        <w:t>Proposal</w:t>
      </w:r>
      <w:r w:rsidR="00D11B7D">
        <w:rPr>
          <w:b/>
          <w:lang w:eastAsia="zh-CN"/>
        </w:rPr>
        <w:t xml:space="preserve"> 1</w:t>
      </w:r>
      <w:r>
        <w:rPr>
          <w:lang w:eastAsia="zh-CN"/>
        </w:rPr>
        <w:t xml:space="preserve">: </w:t>
      </w:r>
      <w:r>
        <w:rPr>
          <w:b/>
          <w:lang w:eastAsia="zh-CN"/>
        </w:rPr>
        <w:t xml:space="preserve">WiderCHBW is only applicable </w:t>
      </w:r>
      <w:r w:rsidR="00D11B7D">
        <w:rPr>
          <w:b/>
          <w:lang w:eastAsia="zh-CN"/>
        </w:rPr>
        <w:t>for co-located adjacent channel deployments, and no new RF requirement is needed</w:t>
      </w:r>
    </w:p>
    <w:p w:rsidR="00A45357" w:rsidRDefault="00563F22" w:rsidP="00A15CF2">
      <w:pPr>
        <w:pStyle w:val="1"/>
        <w:keepLines/>
        <w:pBdr>
          <w:top w:val="single" w:sz="12" w:space="3" w:color="auto"/>
        </w:pBdr>
        <w:tabs>
          <w:tab w:val="clear" w:pos="432"/>
          <w:tab w:val="num" w:pos="397"/>
        </w:tabs>
        <w:overflowPunct w:val="0"/>
        <w:snapToGrid/>
        <w:spacing w:before="240" w:after="180"/>
        <w:ind w:left="533" w:hanging="533"/>
        <w:jc w:val="left"/>
        <w:textAlignment w:val="baseline"/>
        <w:rPr>
          <w:lang w:eastAsia="zh-CN"/>
        </w:rPr>
      </w:pPr>
      <w:r>
        <w:rPr>
          <w:lang w:eastAsia="zh-CN"/>
        </w:rPr>
        <w:t>C</w:t>
      </w:r>
      <w:r>
        <w:rPr>
          <w:rFonts w:hint="eastAsia"/>
          <w:lang w:eastAsia="zh-CN"/>
        </w:rPr>
        <w:t>onclusions</w:t>
      </w:r>
    </w:p>
    <w:p w:rsidR="00FD5A1B" w:rsidRDefault="00523B83" w:rsidP="00FD5A1B">
      <w:pPr>
        <w:rPr>
          <w:lang w:eastAsia="zh-CN"/>
        </w:rPr>
      </w:pPr>
      <w:r>
        <w:rPr>
          <w:rFonts w:hint="eastAsia"/>
          <w:lang w:eastAsia="zh-CN"/>
        </w:rPr>
        <w:t>I</w:t>
      </w:r>
      <w:r>
        <w:rPr>
          <w:lang w:eastAsia="zh-CN"/>
        </w:rPr>
        <w:t xml:space="preserve">n the contribution, we provide discussion on </w:t>
      </w:r>
      <w:r w:rsidR="00D11B7D">
        <w:rPr>
          <w:lang w:eastAsia="zh-CN"/>
        </w:rPr>
        <w:t>the use of larger channel bandwidths.</w:t>
      </w:r>
    </w:p>
    <w:p w:rsidR="00D11B7D" w:rsidRDefault="00D11B7D" w:rsidP="00D11B7D">
      <w:pPr>
        <w:rPr>
          <w:b/>
          <w:lang w:eastAsia="zh-CN"/>
        </w:rPr>
      </w:pPr>
      <w:r>
        <w:rPr>
          <w:b/>
          <w:lang w:eastAsia="zh-CN"/>
        </w:rPr>
        <w:t>Observation 1:  for co-located adjacent channel deployments, widerCHBW in DL is applicable.</w:t>
      </w:r>
    </w:p>
    <w:p w:rsidR="00D11B7D" w:rsidRDefault="00D11B7D" w:rsidP="00D11B7D">
      <w:pPr>
        <w:rPr>
          <w:b/>
          <w:lang w:eastAsia="zh-CN"/>
        </w:rPr>
      </w:pPr>
      <w:r>
        <w:rPr>
          <w:b/>
          <w:lang w:eastAsia="zh-CN"/>
        </w:rPr>
        <w:t>Observation 2: for non-collocated adjacent channel deployments, widerCHBW in DL is not applicable.</w:t>
      </w:r>
    </w:p>
    <w:p w:rsidR="00D11B7D" w:rsidRDefault="00D11B7D" w:rsidP="00D11B7D">
      <w:pPr>
        <w:rPr>
          <w:b/>
          <w:lang w:eastAsia="zh-CN"/>
        </w:rPr>
      </w:pPr>
      <w:r>
        <w:rPr>
          <w:b/>
          <w:lang w:eastAsia="zh-CN"/>
        </w:rPr>
        <w:t>Observation 3</w:t>
      </w:r>
      <w:r>
        <w:rPr>
          <w:lang w:eastAsia="zh-CN"/>
        </w:rPr>
        <w:t xml:space="preserve">: </w:t>
      </w:r>
      <w:r>
        <w:rPr>
          <w:b/>
          <w:lang w:eastAsia="zh-CN"/>
        </w:rPr>
        <w:t>for co-located adjacent channel deployments, widerCHBW in UL is applicable for BS.</w:t>
      </w:r>
    </w:p>
    <w:p w:rsidR="00D11B7D" w:rsidRPr="009A5185" w:rsidRDefault="00D11B7D" w:rsidP="00D11B7D">
      <w:pPr>
        <w:rPr>
          <w:lang w:eastAsia="zh-CN"/>
        </w:rPr>
      </w:pPr>
      <w:r w:rsidRPr="00D11B7D">
        <w:rPr>
          <w:b/>
          <w:lang w:eastAsia="zh-CN"/>
        </w:rPr>
        <w:t>Proposal</w:t>
      </w:r>
      <w:r>
        <w:rPr>
          <w:b/>
          <w:lang w:eastAsia="zh-CN"/>
        </w:rPr>
        <w:t xml:space="preserve"> 1</w:t>
      </w:r>
      <w:r>
        <w:rPr>
          <w:lang w:eastAsia="zh-CN"/>
        </w:rPr>
        <w:t xml:space="preserve">: </w:t>
      </w:r>
      <w:r>
        <w:rPr>
          <w:b/>
          <w:lang w:eastAsia="zh-CN"/>
        </w:rPr>
        <w:t>WiderCHBW is only applicable for co-located adjacent channel deployments, and no new RF requirement is needed</w:t>
      </w:r>
    </w:p>
    <w:p w:rsidR="00563F22" w:rsidRP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 xml:space="preserve">References </w:t>
      </w:r>
    </w:p>
    <w:p w:rsidR="00924FAF" w:rsidRDefault="00C00181" w:rsidP="00C00181">
      <w:pPr>
        <w:pStyle w:val="References"/>
        <w:rPr>
          <w:lang w:eastAsia="zh-CN"/>
        </w:rPr>
      </w:pPr>
      <w:r w:rsidRPr="00C00181">
        <w:rPr>
          <w:lang w:eastAsia="zh-CN"/>
        </w:rPr>
        <w:t>RP-202103</w:t>
      </w:r>
      <w:r w:rsidR="0025622A">
        <w:rPr>
          <w:rFonts w:hint="eastAsia"/>
          <w:lang w:eastAsia="zh-CN"/>
        </w:rPr>
        <w:t>,</w:t>
      </w:r>
      <w:r w:rsidR="0025622A">
        <w:rPr>
          <w:lang w:eastAsia="zh-CN"/>
        </w:rPr>
        <w:t xml:space="preserve"> </w:t>
      </w:r>
      <w:r w:rsidRPr="00C00181">
        <w:rPr>
          <w:lang w:eastAsia="zh-CN"/>
        </w:rPr>
        <w:t>New SID: Study on Efficient utilization of licensed spectrum that is not aligned with existing NR channel bandwidths</w:t>
      </w:r>
      <w:r w:rsidR="00924FAF" w:rsidRPr="00924FAF">
        <w:rPr>
          <w:lang w:eastAsia="zh-CN"/>
        </w:rPr>
        <w:t xml:space="preserve">, </w:t>
      </w:r>
      <w:r w:rsidRPr="00C00181">
        <w:rPr>
          <w:lang w:eastAsia="zh-CN"/>
        </w:rPr>
        <w:t>T-Mobile USA, Ericsson</w:t>
      </w:r>
    </w:p>
    <w:p w:rsidR="009D3032" w:rsidRDefault="009D3032" w:rsidP="00C00181">
      <w:pPr>
        <w:pStyle w:val="References"/>
        <w:rPr>
          <w:lang w:eastAsia="zh-CN"/>
        </w:rPr>
      </w:pPr>
      <w:r w:rsidRPr="009D3032">
        <w:rPr>
          <w:lang w:eastAsia="zh-CN"/>
        </w:rPr>
        <w:t>R4-2103263, Way forward on use of larger CBW, Skyworks Solutions Inc</w:t>
      </w:r>
    </w:p>
    <w:p w:rsidR="00E407EA" w:rsidRPr="000D06D3" w:rsidRDefault="00E407EA" w:rsidP="00612E55">
      <w:pPr>
        <w:pStyle w:val="References"/>
        <w:numPr>
          <w:ilvl w:val="0"/>
          <w:numId w:val="0"/>
        </w:numPr>
        <w:ind w:left="360"/>
        <w:rPr>
          <w:lang w:eastAsia="zh-CN"/>
        </w:rPr>
      </w:pPr>
    </w:p>
    <w:sectPr w:rsidR="00E407EA" w:rsidRPr="000D06D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CC5" w:rsidRDefault="00BB0CC5">
      <w:r>
        <w:separator/>
      </w:r>
    </w:p>
  </w:endnote>
  <w:endnote w:type="continuationSeparator" w:id="0">
    <w:p w:rsidR="00BB0CC5" w:rsidRDefault="00BB0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CC5" w:rsidRDefault="00BB0CC5">
      <w:r>
        <w:separator/>
      </w:r>
    </w:p>
  </w:footnote>
  <w:footnote w:type="continuationSeparator" w:id="0">
    <w:p w:rsidR="00BB0CC5" w:rsidRDefault="00BB0C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E235003"/>
    <w:multiLevelType w:val="hybridMultilevel"/>
    <w:tmpl w:val="836AECB2"/>
    <w:lvl w:ilvl="0" w:tplc="EF682E10">
      <w:start w:val="1"/>
      <w:numFmt w:val="bullet"/>
      <w:lvlText w:val="•"/>
      <w:lvlJc w:val="left"/>
      <w:pPr>
        <w:tabs>
          <w:tab w:val="num" w:pos="720"/>
        </w:tabs>
        <w:ind w:left="720" w:hanging="360"/>
      </w:pPr>
      <w:rPr>
        <w:rFonts w:ascii="Arial" w:hAnsi="Arial" w:hint="default"/>
      </w:rPr>
    </w:lvl>
    <w:lvl w:ilvl="1" w:tplc="7206C58A">
      <w:numFmt w:val="bullet"/>
      <w:lvlText w:val="•"/>
      <w:lvlJc w:val="left"/>
      <w:pPr>
        <w:tabs>
          <w:tab w:val="num" w:pos="1440"/>
        </w:tabs>
        <w:ind w:left="1440" w:hanging="360"/>
      </w:pPr>
      <w:rPr>
        <w:rFonts w:ascii="Arial" w:hAnsi="Arial" w:hint="default"/>
      </w:rPr>
    </w:lvl>
    <w:lvl w:ilvl="2" w:tplc="C98A6C34" w:tentative="1">
      <w:start w:val="1"/>
      <w:numFmt w:val="bullet"/>
      <w:lvlText w:val="•"/>
      <w:lvlJc w:val="left"/>
      <w:pPr>
        <w:tabs>
          <w:tab w:val="num" w:pos="2160"/>
        </w:tabs>
        <w:ind w:left="2160" w:hanging="360"/>
      </w:pPr>
      <w:rPr>
        <w:rFonts w:ascii="Arial" w:hAnsi="Arial" w:hint="default"/>
      </w:rPr>
    </w:lvl>
    <w:lvl w:ilvl="3" w:tplc="85F48BA8" w:tentative="1">
      <w:start w:val="1"/>
      <w:numFmt w:val="bullet"/>
      <w:lvlText w:val="•"/>
      <w:lvlJc w:val="left"/>
      <w:pPr>
        <w:tabs>
          <w:tab w:val="num" w:pos="2880"/>
        </w:tabs>
        <w:ind w:left="2880" w:hanging="360"/>
      </w:pPr>
      <w:rPr>
        <w:rFonts w:ascii="Arial" w:hAnsi="Arial" w:hint="default"/>
      </w:rPr>
    </w:lvl>
    <w:lvl w:ilvl="4" w:tplc="3D0A1FF8" w:tentative="1">
      <w:start w:val="1"/>
      <w:numFmt w:val="bullet"/>
      <w:lvlText w:val="•"/>
      <w:lvlJc w:val="left"/>
      <w:pPr>
        <w:tabs>
          <w:tab w:val="num" w:pos="3600"/>
        </w:tabs>
        <w:ind w:left="3600" w:hanging="360"/>
      </w:pPr>
      <w:rPr>
        <w:rFonts w:ascii="Arial" w:hAnsi="Arial" w:hint="default"/>
      </w:rPr>
    </w:lvl>
    <w:lvl w:ilvl="5" w:tplc="C6C639A2" w:tentative="1">
      <w:start w:val="1"/>
      <w:numFmt w:val="bullet"/>
      <w:lvlText w:val="•"/>
      <w:lvlJc w:val="left"/>
      <w:pPr>
        <w:tabs>
          <w:tab w:val="num" w:pos="4320"/>
        </w:tabs>
        <w:ind w:left="4320" w:hanging="360"/>
      </w:pPr>
      <w:rPr>
        <w:rFonts w:ascii="Arial" w:hAnsi="Arial" w:hint="default"/>
      </w:rPr>
    </w:lvl>
    <w:lvl w:ilvl="6" w:tplc="6FACB4E6" w:tentative="1">
      <w:start w:val="1"/>
      <w:numFmt w:val="bullet"/>
      <w:lvlText w:val="•"/>
      <w:lvlJc w:val="left"/>
      <w:pPr>
        <w:tabs>
          <w:tab w:val="num" w:pos="5040"/>
        </w:tabs>
        <w:ind w:left="5040" w:hanging="360"/>
      </w:pPr>
      <w:rPr>
        <w:rFonts w:ascii="Arial" w:hAnsi="Arial" w:hint="default"/>
      </w:rPr>
    </w:lvl>
    <w:lvl w:ilvl="7" w:tplc="827A2AEE" w:tentative="1">
      <w:start w:val="1"/>
      <w:numFmt w:val="bullet"/>
      <w:lvlText w:val="•"/>
      <w:lvlJc w:val="left"/>
      <w:pPr>
        <w:tabs>
          <w:tab w:val="num" w:pos="5760"/>
        </w:tabs>
        <w:ind w:left="5760" w:hanging="360"/>
      </w:pPr>
      <w:rPr>
        <w:rFonts w:ascii="Arial" w:hAnsi="Arial" w:hint="default"/>
      </w:rPr>
    </w:lvl>
    <w:lvl w:ilvl="8" w:tplc="310849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5"/>
  </w:num>
  <w:num w:numId="5">
    <w:abstractNumId w:val="7"/>
  </w:num>
  <w:num w:numId="6">
    <w:abstractNumId w:val="0"/>
  </w:num>
  <w:num w:numId="7">
    <w:abstractNumId w:val="6"/>
  </w:num>
  <w:num w:numId="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45"/>
    <w:rsid w:val="000109E6"/>
    <w:rsid w:val="00011F67"/>
    <w:rsid w:val="00012862"/>
    <w:rsid w:val="000128E6"/>
    <w:rsid w:val="0001538E"/>
    <w:rsid w:val="00015EFB"/>
    <w:rsid w:val="000165E2"/>
    <w:rsid w:val="00016FEA"/>
    <w:rsid w:val="000172BE"/>
    <w:rsid w:val="00017D8A"/>
    <w:rsid w:val="00023388"/>
    <w:rsid w:val="00023425"/>
    <w:rsid w:val="000238CC"/>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3697"/>
    <w:rsid w:val="00093D42"/>
    <w:rsid w:val="00093DD0"/>
    <w:rsid w:val="00094A1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4B7"/>
    <w:rsid w:val="000B51FA"/>
    <w:rsid w:val="000B5905"/>
    <w:rsid w:val="000B5975"/>
    <w:rsid w:val="000B6E2C"/>
    <w:rsid w:val="000B76C5"/>
    <w:rsid w:val="000B7A10"/>
    <w:rsid w:val="000B7DD5"/>
    <w:rsid w:val="000C0C15"/>
    <w:rsid w:val="000C0EAA"/>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17ED"/>
    <w:rsid w:val="001024DC"/>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183D"/>
    <w:rsid w:val="00123FFC"/>
    <w:rsid w:val="00124D84"/>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673E"/>
    <w:rsid w:val="001A68A5"/>
    <w:rsid w:val="001A7763"/>
    <w:rsid w:val="001A7BF4"/>
    <w:rsid w:val="001B3964"/>
    <w:rsid w:val="001B4452"/>
    <w:rsid w:val="001B466C"/>
    <w:rsid w:val="001B4F34"/>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E5C"/>
    <w:rsid w:val="00205627"/>
    <w:rsid w:val="002056D0"/>
    <w:rsid w:val="002076B1"/>
    <w:rsid w:val="00210860"/>
    <w:rsid w:val="00210B6A"/>
    <w:rsid w:val="00210C37"/>
    <w:rsid w:val="00212CB6"/>
    <w:rsid w:val="00212E37"/>
    <w:rsid w:val="00213830"/>
    <w:rsid w:val="00213E03"/>
    <w:rsid w:val="002140FF"/>
    <w:rsid w:val="002163C3"/>
    <w:rsid w:val="00220894"/>
    <w:rsid w:val="0022484B"/>
    <w:rsid w:val="00224952"/>
    <w:rsid w:val="00224DD2"/>
    <w:rsid w:val="00225A6A"/>
    <w:rsid w:val="00225AC7"/>
    <w:rsid w:val="00225ACC"/>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1C98"/>
    <w:rsid w:val="0026248E"/>
    <w:rsid w:val="00262914"/>
    <w:rsid w:val="00262E57"/>
    <w:rsid w:val="002647BF"/>
    <w:rsid w:val="002647D5"/>
    <w:rsid w:val="00265032"/>
    <w:rsid w:val="002651FB"/>
    <w:rsid w:val="0026538C"/>
    <w:rsid w:val="00265781"/>
    <w:rsid w:val="00266B13"/>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E0319"/>
    <w:rsid w:val="002E0467"/>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48D8"/>
    <w:rsid w:val="003554CA"/>
    <w:rsid w:val="003571E6"/>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72E"/>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7488"/>
    <w:rsid w:val="0047083E"/>
    <w:rsid w:val="00470EB5"/>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0DF4"/>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9E6"/>
    <w:rsid w:val="004B4D69"/>
    <w:rsid w:val="004C01A8"/>
    <w:rsid w:val="004C1840"/>
    <w:rsid w:val="004C24C9"/>
    <w:rsid w:val="004C2CBB"/>
    <w:rsid w:val="004C31B6"/>
    <w:rsid w:val="004C5319"/>
    <w:rsid w:val="004C621F"/>
    <w:rsid w:val="004C6C97"/>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C55"/>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7200"/>
    <w:rsid w:val="00530157"/>
    <w:rsid w:val="00531314"/>
    <w:rsid w:val="00531EBE"/>
    <w:rsid w:val="00532F8B"/>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5689"/>
    <w:rsid w:val="005B0542"/>
    <w:rsid w:val="005B2225"/>
    <w:rsid w:val="005B2799"/>
    <w:rsid w:val="005B2B77"/>
    <w:rsid w:val="005B3D4A"/>
    <w:rsid w:val="005B4D87"/>
    <w:rsid w:val="005B5D0E"/>
    <w:rsid w:val="005B5D66"/>
    <w:rsid w:val="005B7DD1"/>
    <w:rsid w:val="005C00A0"/>
    <w:rsid w:val="005C0A0C"/>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07"/>
    <w:rsid w:val="00703C9D"/>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B71"/>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4442"/>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536"/>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C0074"/>
    <w:rsid w:val="009C0564"/>
    <w:rsid w:val="009C0820"/>
    <w:rsid w:val="009C1FA8"/>
    <w:rsid w:val="009C2685"/>
    <w:rsid w:val="009C39BC"/>
    <w:rsid w:val="009C4BC2"/>
    <w:rsid w:val="009C4D22"/>
    <w:rsid w:val="009C7320"/>
    <w:rsid w:val="009D0729"/>
    <w:rsid w:val="009D0F66"/>
    <w:rsid w:val="009D1A06"/>
    <w:rsid w:val="009D1BA4"/>
    <w:rsid w:val="009D22E4"/>
    <w:rsid w:val="009D22F7"/>
    <w:rsid w:val="009D3032"/>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F41"/>
    <w:rsid w:val="00A64942"/>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9B2"/>
    <w:rsid w:val="00A83E3D"/>
    <w:rsid w:val="00A840AE"/>
    <w:rsid w:val="00A8443A"/>
    <w:rsid w:val="00A8479C"/>
    <w:rsid w:val="00A8557B"/>
    <w:rsid w:val="00A85A05"/>
    <w:rsid w:val="00A86D63"/>
    <w:rsid w:val="00A87797"/>
    <w:rsid w:val="00A90E72"/>
    <w:rsid w:val="00A922A2"/>
    <w:rsid w:val="00A92EFA"/>
    <w:rsid w:val="00A9327B"/>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71C0"/>
    <w:rsid w:val="00B07F71"/>
    <w:rsid w:val="00B10558"/>
    <w:rsid w:val="00B156A9"/>
    <w:rsid w:val="00B15F83"/>
    <w:rsid w:val="00B160FF"/>
    <w:rsid w:val="00B16322"/>
    <w:rsid w:val="00B1662E"/>
    <w:rsid w:val="00B16A6F"/>
    <w:rsid w:val="00B22C0D"/>
    <w:rsid w:val="00B23AF4"/>
    <w:rsid w:val="00B23C15"/>
    <w:rsid w:val="00B24CDE"/>
    <w:rsid w:val="00B25762"/>
    <w:rsid w:val="00B25B40"/>
    <w:rsid w:val="00B25EA7"/>
    <w:rsid w:val="00B25FDE"/>
    <w:rsid w:val="00B26AB0"/>
    <w:rsid w:val="00B26AD2"/>
    <w:rsid w:val="00B26CA2"/>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472FF"/>
    <w:rsid w:val="00B508D7"/>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A3D"/>
    <w:rsid w:val="00B875C7"/>
    <w:rsid w:val="00B90D10"/>
    <w:rsid w:val="00B90FE5"/>
    <w:rsid w:val="00B919AD"/>
    <w:rsid w:val="00B91A2B"/>
    <w:rsid w:val="00B91D80"/>
    <w:rsid w:val="00B93204"/>
    <w:rsid w:val="00B94E17"/>
    <w:rsid w:val="00B957FE"/>
    <w:rsid w:val="00B95F02"/>
    <w:rsid w:val="00B96BEF"/>
    <w:rsid w:val="00B96FC0"/>
    <w:rsid w:val="00B97260"/>
    <w:rsid w:val="00B97A69"/>
    <w:rsid w:val="00B97B9E"/>
    <w:rsid w:val="00BA01E2"/>
    <w:rsid w:val="00BA0632"/>
    <w:rsid w:val="00BA0AAA"/>
    <w:rsid w:val="00BA0DFB"/>
    <w:rsid w:val="00BA2FEF"/>
    <w:rsid w:val="00BA35BF"/>
    <w:rsid w:val="00BA3DE7"/>
    <w:rsid w:val="00BA7566"/>
    <w:rsid w:val="00BB0CC5"/>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5FE6"/>
    <w:rsid w:val="00BE7C4D"/>
    <w:rsid w:val="00BE7F6A"/>
    <w:rsid w:val="00BF0274"/>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1B7D"/>
    <w:rsid w:val="00D12293"/>
    <w:rsid w:val="00D14236"/>
    <w:rsid w:val="00D14553"/>
    <w:rsid w:val="00D14593"/>
    <w:rsid w:val="00D1497A"/>
    <w:rsid w:val="00D14A2C"/>
    <w:rsid w:val="00D14DB1"/>
    <w:rsid w:val="00D15F43"/>
    <w:rsid w:val="00D16E87"/>
    <w:rsid w:val="00D203FD"/>
    <w:rsid w:val="00D2085B"/>
    <w:rsid w:val="00D20B8B"/>
    <w:rsid w:val="00D2162C"/>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812"/>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C2C"/>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4A7E"/>
    <w:rsid w:val="00E14F2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5F63"/>
    <w:rsid w:val="00EC6057"/>
    <w:rsid w:val="00EC6847"/>
    <w:rsid w:val="00EC7829"/>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7DE6"/>
    <w:rsid w:val="00F103CB"/>
    <w:rsid w:val="00F1056C"/>
    <w:rsid w:val="00F107F1"/>
    <w:rsid w:val="00F10FC1"/>
    <w:rsid w:val="00F112FD"/>
    <w:rsid w:val="00F133A1"/>
    <w:rsid w:val="00F137BF"/>
    <w:rsid w:val="00F13ECD"/>
    <w:rsid w:val="00F155CE"/>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4AE2"/>
    <w:rsid w:val="00FF50A8"/>
    <w:rsid w:val="00FF571E"/>
    <w:rsid w:val="00FF586D"/>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0"/>
    <w:next w:val="a0"/>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0"/>
    <w:next w:val="a0"/>
    <w:qFormat/>
    <w:pPr>
      <w:keepNext/>
      <w:numPr>
        <w:ilvl w:val="1"/>
        <w:numId w:val="2"/>
      </w:numPr>
      <w:spacing w:before="120"/>
      <w:outlineLvl w:val="1"/>
    </w:pPr>
    <w:rPr>
      <w:b/>
      <w:bCs/>
      <w:sz w:val="24"/>
    </w:rPr>
  </w:style>
  <w:style w:type="paragraph" w:styleId="3">
    <w:name w:val="heading 3"/>
    <w:aliases w:val="heading 3,h3"/>
    <w:basedOn w:val="a0"/>
    <w:next w:val="a0"/>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aliases w:val="Figure Heading,FH"/>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rPr>
      <w:color w:val="800080"/>
      <w:u w:val="single"/>
    </w:rPr>
  </w:style>
  <w:style w:type="paragraph" w:styleId="ab">
    <w:name w:val="footnote text"/>
    <w:basedOn w:val="a0"/>
    <w:semiHidden/>
    <w:rPr>
      <w:sz w:val="20"/>
      <w:szCs w:val="20"/>
    </w:rPr>
  </w:style>
  <w:style w:type="character" w:styleId="ac">
    <w:name w:val="footnote reference"/>
    <w:semiHidden/>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a0"/>
    <w:link w:val="Char3"/>
    <w:uiPriority w:val="34"/>
    <w:qFormat/>
    <w:rsid w:val="00956BBE"/>
    <w:pPr>
      <w:autoSpaceDE/>
      <w:autoSpaceDN/>
      <w:adjustRightInd/>
      <w:snapToGrid/>
      <w:spacing w:after="0"/>
      <w:ind w:left="720"/>
      <w:contextualSpacing/>
      <w:jc w:val="left"/>
    </w:pPr>
    <w:rPr>
      <w:rFonts w:eastAsia="Times New Roman"/>
      <w:sz w:val="24"/>
      <w:szCs w:val="24"/>
      <w:lang w:eastAsia="zh-CN"/>
    </w:r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eastAsia="Times New Roman"/>
      <w:sz w:val="24"/>
      <w:szCs w:val="24"/>
      <w:lang w:eastAsia="zh-CN"/>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TAN">
    <w:name w:val="TAN"/>
    <w:basedOn w:val="a0"/>
    <w:link w:val="TANChar"/>
    <w:qFormat/>
    <w:rsid w:val="00BB0E6B"/>
    <w:pPr>
      <w:keepNext/>
      <w:keepLines/>
      <w:overflowPunct w:val="0"/>
      <w:snapToGrid/>
      <w:spacing w:after="0"/>
      <w:ind w:left="851" w:hanging="851"/>
      <w:jc w:val="left"/>
      <w:textAlignment w:val="baseline"/>
    </w:pPr>
    <w:rPr>
      <w:rFonts w:ascii="Arial" w:eastAsia="Times New Roman" w:hAnsi="Arial"/>
      <w:sz w:val="18"/>
      <w:szCs w:val="20"/>
      <w:lang w:val="en-GB"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overflowPunct w:val="0"/>
      <w:snapToGrid/>
      <w:spacing w:after="0"/>
      <w:jc w:val="left"/>
      <w:textAlignment w:val="baseline"/>
    </w:pPr>
    <w:rPr>
      <w:rFonts w:ascii="Arial" w:eastAsia="Arial" w:hAnsi="Arial"/>
      <w:b/>
      <w:bCs/>
      <w:noProof/>
      <w:szCs w:val="20"/>
      <w:lang w:val="en-GB"/>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qFormat/>
    <w:rsid w:val="00A92EFA"/>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NO">
    <w:name w:val="NO"/>
    <w:basedOn w:val="a0"/>
    <w:rsid w:val="00DB37D4"/>
    <w:pPr>
      <w:keepLines/>
      <w:overflowPunct w:val="0"/>
      <w:snapToGrid/>
      <w:spacing w:after="180"/>
      <w:ind w:left="1135" w:hanging="851"/>
      <w:jc w:val="left"/>
    </w:pPr>
    <w:rPr>
      <w:rFonts w:eastAsiaTheme="minorEastAsia"/>
      <w:sz w:val="20"/>
      <w:szCs w:val="20"/>
      <w:lang w:val="en-GB"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snapToGrid/>
      <w:spacing w:after="180"/>
      <w:jc w:val="left"/>
    </w:pPr>
    <w:rPr>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7685935">
      <w:bodyDiv w:val="1"/>
      <w:marLeft w:val="0"/>
      <w:marRight w:val="0"/>
      <w:marTop w:val="0"/>
      <w:marBottom w:val="0"/>
      <w:divBdr>
        <w:top w:val="none" w:sz="0" w:space="0" w:color="auto"/>
        <w:left w:val="none" w:sz="0" w:space="0" w:color="auto"/>
        <w:bottom w:val="none" w:sz="0" w:space="0" w:color="auto"/>
        <w:right w:val="none" w:sz="0" w:space="0" w:color="auto"/>
      </w:divBdr>
      <w:divsChild>
        <w:div w:id="233586636">
          <w:marLeft w:val="360"/>
          <w:marRight w:val="0"/>
          <w:marTop w:val="200"/>
          <w:marBottom w:val="0"/>
          <w:divBdr>
            <w:top w:val="none" w:sz="0" w:space="0" w:color="auto"/>
            <w:left w:val="none" w:sz="0" w:space="0" w:color="auto"/>
            <w:bottom w:val="none" w:sz="0" w:space="0" w:color="auto"/>
            <w:right w:val="none" w:sz="0" w:space="0" w:color="auto"/>
          </w:divBdr>
        </w:div>
        <w:div w:id="666594468">
          <w:marLeft w:val="1080"/>
          <w:marRight w:val="0"/>
          <w:marTop w:val="100"/>
          <w:marBottom w:val="0"/>
          <w:divBdr>
            <w:top w:val="none" w:sz="0" w:space="0" w:color="auto"/>
            <w:left w:val="none" w:sz="0" w:space="0" w:color="auto"/>
            <w:bottom w:val="none" w:sz="0" w:space="0" w:color="auto"/>
            <w:right w:val="none" w:sz="0" w:space="0" w:color="auto"/>
          </w:divBdr>
        </w:div>
        <w:div w:id="183516966">
          <w:marLeft w:val="1080"/>
          <w:marRight w:val="0"/>
          <w:marTop w:val="100"/>
          <w:marBottom w:val="0"/>
          <w:divBdr>
            <w:top w:val="none" w:sz="0" w:space="0" w:color="auto"/>
            <w:left w:val="none" w:sz="0" w:space="0" w:color="auto"/>
            <w:bottom w:val="none" w:sz="0" w:space="0" w:color="auto"/>
            <w:right w:val="none" w:sz="0" w:space="0" w:color="auto"/>
          </w:divBdr>
        </w:div>
        <w:div w:id="2133204272">
          <w:marLeft w:val="1080"/>
          <w:marRight w:val="0"/>
          <w:marTop w:val="100"/>
          <w:marBottom w:val="0"/>
          <w:divBdr>
            <w:top w:val="none" w:sz="0" w:space="0" w:color="auto"/>
            <w:left w:val="none" w:sz="0" w:space="0" w:color="auto"/>
            <w:bottom w:val="none" w:sz="0" w:space="0" w:color="auto"/>
            <w:right w:val="none" w:sz="0" w:space="0" w:color="auto"/>
          </w:divBdr>
        </w:div>
        <w:div w:id="263073996">
          <w:marLeft w:val="1080"/>
          <w:marRight w:val="0"/>
          <w:marTop w:val="100"/>
          <w:marBottom w:val="0"/>
          <w:divBdr>
            <w:top w:val="none" w:sz="0" w:space="0" w:color="auto"/>
            <w:left w:val="none" w:sz="0" w:space="0" w:color="auto"/>
            <w:bottom w:val="none" w:sz="0" w:space="0" w:color="auto"/>
            <w:right w:val="none" w:sz="0" w:space="0" w:color="auto"/>
          </w:divBdr>
        </w:div>
        <w:div w:id="1410496736">
          <w:marLeft w:val="360"/>
          <w:marRight w:val="0"/>
          <w:marTop w:val="200"/>
          <w:marBottom w:val="0"/>
          <w:divBdr>
            <w:top w:val="none" w:sz="0" w:space="0" w:color="auto"/>
            <w:left w:val="none" w:sz="0" w:space="0" w:color="auto"/>
            <w:bottom w:val="none" w:sz="0" w:space="0" w:color="auto"/>
            <w:right w:val="none" w:sz="0" w:space="0" w:color="auto"/>
          </w:divBdr>
        </w:div>
        <w:div w:id="1793552124">
          <w:marLeft w:val="1080"/>
          <w:marRight w:val="0"/>
          <w:marTop w:val="100"/>
          <w:marBottom w:val="0"/>
          <w:divBdr>
            <w:top w:val="none" w:sz="0" w:space="0" w:color="auto"/>
            <w:left w:val="none" w:sz="0" w:space="0" w:color="auto"/>
            <w:bottom w:val="none" w:sz="0" w:space="0" w:color="auto"/>
            <w:right w:val="none" w:sz="0" w:space="0" w:color="auto"/>
          </w:divBdr>
        </w:div>
        <w:div w:id="1006907364">
          <w:marLeft w:val="1080"/>
          <w:marRight w:val="0"/>
          <w:marTop w:val="100"/>
          <w:marBottom w:val="0"/>
          <w:divBdr>
            <w:top w:val="none" w:sz="0" w:space="0" w:color="auto"/>
            <w:left w:val="none" w:sz="0" w:space="0" w:color="auto"/>
            <w:bottom w:val="none" w:sz="0" w:space="0" w:color="auto"/>
            <w:right w:val="none" w:sz="0" w:space="0" w:color="auto"/>
          </w:divBdr>
        </w:div>
        <w:div w:id="683214990">
          <w:marLeft w:val="360"/>
          <w:marRight w:val="0"/>
          <w:marTop w:val="200"/>
          <w:marBottom w:val="0"/>
          <w:divBdr>
            <w:top w:val="none" w:sz="0" w:space="0" w:color="auto"/>
            <w:left w:val="none" w:sz="0" w:space="0" w:color="auto"/>
            <w:bottom w:val="none" w:sz="0" w:space="0" w:color="auto"/>
            <w:right w:val="none" w:sz="0" w:space="0" w:color="auto"/>
          </w:divBdr>
        </w:div>
      </w:divsChild>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62D27E-B30A-4101-B0B2-CF0C0A135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2</Pages>
  <Words>603</Words>
  <Characters>3441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6</cp:revision>
  <cp:lastPrinted>2007-06-18T22:08:00Z</cp:lastPrinted>
  <dcterms:created xsi:type="dcterms:W3CDTF">2021-03-30T06:56:00Z</dcterms:created>
  <dcterms:modified xsi:type="dcterms:W3CDTF">2021-04-02T11:01:00Z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(3)b/6lpWtPGvXZiL2pHAaOc15MZd0Ibb1GiAe2a9koUXYRtltFtPFQsOtWKrzLBGevhHI40O/P
L+MP56cAUCbdh5SOlarlKGzUPaRZTUJYg0zsY9OCM+4DxLNHnRShoNErbOQbU2DZh+MKJqxI
FFPl6vw8FxcEy2v6a/heFixag+eF2KWDbIKl8jIJH6RpOZWsMEDi0LZJrQ/JkwG9u0yjJJZ6
Iesoc4NvDVqBaycK5w</vt:lpwstr>
  </property>
  <property fmtid="{D5CDD505-2E9C-101B-9397-08002B2CF9AE}" pid="13" name="_2015_ms_pID_725343_00">
    <vt:lpwstr>_2015_ms_pID_725343</vt:lpwstr>
  </property>
  <property fmtid="{D5CDD505-2E9C-101B-9397-08002B2CF9AE}" pid="14" name="_2015_ms_pID_7253431">
    <vt:lpwstr>JgpK6DtvXo/WwERul0E4W3X6GIthOlXC63Cl6AUAIG9dcFVO8S7ZVW
Ln3nqHgmE5k190GpTbBQl3ZA2i0l3WThDtkIVz3cfkRTTlBpnxZeQ/s38QJeC8Z0tOWPj1Ok
99xOOd4Mo6x8RDCqz8DdYopmMl0WD+e3GmQiRgWcGN7A0Lgm3SBO36imtr741G+6MWwvjqh5
CJvfrTwzmMorlhnipym8pJRCNVZgMD7q3xGo</vt:lpwstr>
  </property>
  <property fmtid="{D5CDD505-2E9C-101B-9397-08002B2CF9AE}" pid="15" name="_2015_ms_pID_7253431_00">
    <vt:lpwstr>_2015_ms_pID_7253431</vt:lpwstr>
  </property>
  <property fmtid="{D5CDD505-2E9C-101B-9397-08002B2CF9AE}" pid="16" name="_2015_ms_pID_7253432">
    <vt:lpwstr>Op6QJI5Ik9tXvRWlqB96ZRwJZ5Qmova4R4Tq
ZW3dQN/tGxFNdRcM86vnGXQZGo9LNQ==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